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1"/>
        <w:ind w:right="0"/>
        <w:jc w:val="right"/>
        <w:keepNext/>
        <w:widowControl w:val="off"/>
        <w:rPr>
          <w:highlight w:val="white"/>
        </w:rPr>
      </w:pPr>
      <w:r>
        <w:rPr>
          <w:i/>
          <w:sz w:val="16"/>
          <w:szCs w:val="16"/>
          <w:highlight w:val="white"/>
        </w:rPr>
        <w:t xml:space="preserve"> </w:t>
      </w:r>
      <w:r>
        <w:rPr>
          <w:i/>
          <w:sz w:val="16"/>
          <w:szCs w:val="16"/>
          <w:highlight w:val="white"/>
        </w:rPr>
        <w:t xml:space="preserve">   </w:t>
      </w:r>
      <w:r>
        <w:rPr>
          <w:b w:val="0"/>
          <w:i/>
          <w:sz w:val="16"/>
          <w:szCs w:val="16"/>
          <w:highlight w:val="white"/>
        </w:rPr>
        <w:t xml:space="preserve">Для юридических лиц, с применением в расчётах с 1 по 6 ценовой категории</w:t>
      </w:r>
      <w:r>
        <w:rPr>
          <w:highlight w:val="white"/>
        </w:rPr>
      </w:r>
      <w:r>
        <w:rPr>
          <w:highlight w:val="white"/>
        </w:rPr>
      </w:r>
    </w:p>
    <w:p>
      <w:pPr>
        <w:pStyle w:val="1011"/>
        <w:ind w:right="0"/>
        <w:keepNext/>
        <w:widowControl w:val="off"/>
        <w:rPr>
          <w:b w:val="0"/>
          <w:i/>
          <w:highlight w:val="white"/>
        </w:rPr>
      </w:pP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</w:p>
    <w:p>
      <w:pPr>
        <w:pStyle w:val="1039"/>
        <w:ind w:right="0"/>
        <w:keepNext/>
        <w:widowControl w:val="o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ДОГОВОР КУПЛИ – ПРОДАЖИ ЭЛЕКТРИЧЕСКОЙ ЭНЕРГИИ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11"/>
        <w:ind w:right="0"/>
        <w:keepNext/>
        <w:widowControl w:val="off"/>
        <w:rPr>
          <w:highlight w:val="white"/>
        </w:rPr>
      </w:pPr>
      <w:r>
        <w:rPr>
          <w:highlight w:val="white"/>
        </w:rPr>
        <w:t xml:space="preserve">№ ________________</w:t>
        <w:tab/>
        <w:t xml:space="preserve">от «___»____________202__ г.</w:t>
      </w:r>
      <w:r>
        <w:rPr>
          <w:highlight w:val="white"/>
        </w:rPr>
      </w:r>
      <w:r>
        <w:rPr>
          <w:highlight w:val="white"/>
        </w:rPr>
      </w:r>
    </w:p>
    <w:p>
      <w:pPr>
        <w:pStyle w:val="1011"/>
        <w:ind w:right="0"/>
        <w:keepNext/>
        <w:widowControl w:val="off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pStyle w:val="93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Публичное акционерное общество «Саратовэнерго» (имеющее статус Гарантирующего поставщика), именуемое в дальнейшем «Поставщик», в лице________________________________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_____________________________________________________________ ___________________________________________________________, действующего на основании ________________, с одной стороны, и _____________________________________________________________________,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именуемый(-ое) в дальнейшем «Потребитель» в лице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left="720" w:right="0" w:firstLine="720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  <w:vertAlign w:val="superscript"/>
        </w:rPr>
        <w:t xml:space="preserve">(полное наименование Потребителя)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_______________________________________________, действующего на основании ____________, с другой стороны, а при совместном упоминании «стороны», заключили настоящий договор, о нижеследующем: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8"/>
        </w:numPr>
        <w:ind w:left="0" w:firstLine="284"/>
        <w:jc w:val="center"/>
        <w:keepNext/>
        <w:spacing w:before="240"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Предмет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ind w:firstLine="284"/>
        <w:jc w:val="both"/>
        <w:keepNext/>
        <w:widowControl w:val="off"/>
        <w:tabs>
          <w:tab w:val="left" w:pos="0" w:leader="none"/>
        </w:tabs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 xml:space="preserve">1.1. Поставщик осуществляет продажу потребителю электрической энергии (мощности) и оказывает иные услуги, оказание которых является нео</w:t>
      </w:r>
      <w:r>
        <w:rPr>
          <w:sz w:val="18"/>
          <w:szCs w:val="18"/>
          <w:highlight w:val="white"/>
        </w:rPr>
        <w:t xml:space="preserve">т</w:t>
      </w:r>
      <w:r>
        <w:rPr>
          <w:sz w:val="18"/>
          <w:szCs w:val="18"/>
          <w:highlight w:val="white"/>
        </w:rPr>
        <w:t xml:space="preserve">ъемлемой частью процесса поставки электрической энергии потребителю, а потребитель принимает и оплачивает приобретаемую электрическую энергию (мощность) и оказанные услуги, в соответствии с условиями настоящего договора и действующего законодательства РФ. </w:t>
      </w:r>
      <w:r>
        <w:rPr>
          <w:sz w:val="18"/>
          <w:szCs w:val="18"/>
          <w:highlight w:val="white"/>
        </w:rPr>
      </w:r>
      <w:r>
        <w:rPr>
          <w:sz w:val="18"/>
          <w:szCs w:val="18"/>
          <w:highlight w:val="white"/>
        </w:rPr>
      </w:r>
    </w:p>
    <w:p>
      <w:pPr>
        <w:ind w:firstLine="284"/>
        <w:jc w:val="both"/>
        <w:keepNext/>
        <w:widowControl w:val="off"/>
        <w:tabs>
          <w:tab w:val="left" w:pos="0" w:leader="none"/>
        </w:tabs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</w:r>
      <w:r>
        <w:rPr>
          <w:sz w:val="18"/>
          <w:szCs w:val="18"/>
          <w:highlight w:val="white"/>
        </w:rPr>
        <w:t xml:space="preserve">В настоящем договоре не регулируются отношения, связанные с оперативно-диспетчерским управлением и передачей электрической энергии в отношении энергопринимающих устройств потребителя</w:t>
      </w:r>
      <w:r>
        <w:rPr>
          <w:sz w:val="18"/>
          <w:szCs w:val="18"/>
          <w:highlight w:val="white"/>
        </w:rPr>
        <w:t xml:space="preserve">.</w:t>
      </w:r>
      <w:r>
        <w:rPr>
          <w:highlight w:val="white"/>
        </w:rPr>
      </w:r>
      <w:r>
        <w:rPr>
          <w:sz w:val="18"/>
          <w:szCs w:val="18"/>
          <w:highlight w:val="white"/>
        </w:rPr>
      </w:r>
    </w:p>
    <w:p>
      <w:pPr>
        <w:pStyle w:val="931"/>
        <w:ind w:left="0" w:right="0" w:firstLine="283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1.2.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исполнении настоящего договора стороны договорились руководствоваться действующим законодательством РФ, решениями органов исполнительной власти, уполномоченных в области 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осударственного регулирования тарифов, другими действующими нормативными и правовыми актами Российской Федерации, соблюдать требования оперативно-технологического (диспетчерского) управления процессом передачи, приема и распределения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0" w:right="0" w:firstLine="283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1.3.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вступления в силу после заключения настоящего дого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вора законов или иных нормативно-правовых актов, устанавливающих иные правила деятельности сторон или исполнения публичных договоров, установленные такими документами новые нормы обязательны для исполнения сторонами с момента их вступления в законную силу.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   Обязанности и права сторон.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2.1. Поставщик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Осуществлять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продажу потребителю электрической энергии (мощност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), качество которой должно соответствовать требованиям законодательства РФ (в том числе ГОСТ 32144-2013) в необходимом ему объеме согласно Приложению № 1 к настоящему договору, 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превышающему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величину максимальной мощности и в соответствии с категорией надежности по точкам поставки потребителя (энергоснабжаемые объекты потребителя),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определенной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Приложени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№ 5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Публиковать на официальном сайте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www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saratovenergo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ru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сети «Интернет» предельные уровни нерегулируемых цен для ценовых 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тегорий не позднее, чем через 15 дней после окончания расчетного периода. Так же предельные уровни нерегулируемых цен и составляющие предельных уровней нерегулируемых цен доводить до сведения потребителя в счетах на оплату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банковских реквизитов, почтового и юридического адреса, адреса веб-сайта, электронной почты, поставщик обязан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 этом потребителя в срок не позднее 5 рабочих дней с момента произошедших изменений.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осуществление действий, необходимых для реализации прав потребителя, предусмотренных условиями наст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оящего договора и требованиями Основных положений функционирования розничных рынков электрической энергии, утверждённых постановлением Правительства РФ от 04.05.2012 №442 (далее – Основные положения функционирования розничных рынков электрической энергии).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2.2. Поставщик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2.2.1. В связи с наступлением обстоятельств, указанных в Правилах полного и (или) частичного ограничения режима потребления электрической энергии, утверждённых Постановлением Правительства РФ от 04.05.2012 №442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(далее - Правила полного и (или) частичного ограничения режима потребления электрической энергии)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инициировать в установленном порядке введение полного и (или) частичного ограничения режима потребления потребителем электрической энергии.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2.2.2. Поставщик вправе в одностороннем порядке отказат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ься от исполнения договора в случаях и порядке предусмотренным действующим законодательством РФ, уведомив об этом потребителя об этом за 10 рабочих дней до заявляемой им даты отказа от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говора, способом, позволяющим подтвердить факт получения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Start w:id="0" w:name="YANDEX_98"/>
      <w:r>
        <w:rPr>
          <w:highlight w:val="white"/>
        </w:rPr>
      </w:r>
      <w:bookmarkEnd w:id="0"/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2.3. Потребитель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2.3.1.</w:t>
      </w:r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Своевременно 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роизводить оплату платёжных документов, выставленных поставщиком в сроки и порядке, установленные настоящим договором.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2.3.2.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Самостоятельно урегулировать с сетевой организацией, с предоставлением поставщику необходимой технической документации, вопросы взаимодействия в части: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урегулирования с системоборазующей территориально сетевой организацией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путем самостоятельного заключения соответствующего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оказания услуг по передаче электрической энергии до точек поставки потребителя;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надлежащего оформления технологического присоединения (в том числе и опосредованно) энергопринимающих устройств потребителя в установленном порядке к объектам электросетевого хозяйства сетевой организации;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информирования об аварийных ситуациях в своих электроустановках и сроках их ремонта;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своего участия в реализации графиков аварийного ограничения режима потребления электрической энергии и использования противоаварийной автоматики;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оперативно-технологического взаимодействия и эксплуатации принадлежащих потребителю энергопринимающих устройств, в соответствии с правилами технической эксплуатации, техники безопасности и оперативно-диспетчерского управления;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0" w:right="-1" w:firstLine="283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надлежащего оформления Акта технологической и (или) аварийной брони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Если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Потребитель, ограничение режима потребления энергии (мощности) которого может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привести к экономическим, экологическим, социальным последствиям, а также Потребитель, энергопринимающие устройства которого отнесены к первой категории надежности, при отсутствии у него акта согласования технологической и (или) аварийной брони на дату под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ачи заявления о заключении договора энергоснабжения или при возникновении после заключения договора энергоснабжения оснований для изменения ранее составленного акта в порядке, определенном Правилами недискриминационного доступа к услугам по передаче энерги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и оказания этих услуг, обязан составить (изменить) и согласовать с сетев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ой организацией акт согласования технологической и (или) аварийной брони, а также передать поставщику копию такого акта не позднее 5 дней со дня согласования с сетевой организацией.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Обеспечивать сохранность и целостность приборов учета и иного оборудования, используемых для обеспечения учета энергии (мощности), а также пломб и (или) знаков 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изуального контроля, установленных в границах балансовой принадлежности энергопринимающих устройств потребителя (в границах земельного участка, внутри помещения потребителя), по перечню средств и оборудования, согласно Приложению №3 к настоящему договору.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Обеспечить допуск поставщика к необходимой технической документации и оборудованию потребителя, для контроля над соблюдением установленных режимов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электропотребления, технического состояния, условий эксплуатации, проверки правильности работы и замены (установки) приборов учета, проведения измерений и снятию показаний приборов учета, в случаях и порядке установленных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потребитель является лицом, ответственным за снятие показаний расчетных приборов учета, предоставлять поставщику показания расчетных приборов учета по установленной форме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7.1 к настоящему договору), а также данные о почасовых объемах потребления по каждому прибору учета (в случае выбора для осуществления расчетов соответствующей ценовой категории (предполагающей почасовой учет (почасовое планирование и учет))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использовании в расчётах стоимости электроэнергии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(мощности)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пятой и шестой ценовой категории Потребитель обязан сообщ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Поставщику детализацию планового объема потребления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(мощности)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часам суток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сроки и порядке установленные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Сведения о поч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асовых объемах потребления по каждому прибору учета, в случае выбора для осуществления расчетов ценовой категории, предполагающей почасовой учет (почасовое планирование и учет) по каждой точке поставки (энергоснабжаемому объекту) по приборам учета направля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виде электронной таблице формата «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EXCEL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»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договору), либо в формате 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XML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«80020» на адрес электронной </w:t>
      </w:r>
      <w:bookmarkStart w:id="1" w:name="_Hlk145312736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почты поставщика</w:t>
      </w:r>
      <w:bookmarkEnd w:id="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указанный в п.11.1 Договора с обязательным указанием номера дог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овора в наименовании документа.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Также, предоставлять данные по каждому прибору учета, фиксирующему потребление электрической энергии в нежилых помещениях многоквартирных жилых домов или объектах, технологически присоединённым к сетям жилого дома – ежемесячно, 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позднее 25-го числа расчетного (оплачиваемого) месяца, в отношении иных приборов учета до окончания 1-го дня месяца, следующего за расчетным периодом, на адрес электронной почты поставщика, через официальный сайт поставщика в разделе «Личный кабинет» ука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занные в п.11.1., в виде электронного документа, подписанного электронной подписью, или любым способом, позволяющим подтвердить факт и дату получения показаний поставщиком, также в письменной форме в виде оригинала «Акта снятия показаний приборов учета»,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7.1 к настоящему договору) в течение 3 рабочих дней.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присоединении приборов учёта потребителя и субабонентов потребителя к интеллектуальным системам учета электрической энергии (мощности) сетевой организации или поставщика объём фактического потребления электрическ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ой энергии (мощности) по данным присоединениям формируется на основании данных системы учёта полученных поставщиком самостоятельно, при условии отсутствия зафиксированных фактов неисправности приборов учёта и (или) наличия следов вмешательства в их работу.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Представлять в течении 7 рабочих дней после заключения Договора список лиц, имеющих право ведения оперативных переговоров, подписания ежемесячных актов снятия показаний расчетных приборов учета и иных актов. Список должен содержать должности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ФИО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уполномоченных лиц, и их рабочие телефоны. Потребитель обязуется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течении 2 рабочих дней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извещать поставщика об измен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ении данных, указанных в настоящем пункте. </w:t>
      </w:r>
      <w:bookmarkStart w:id="2" w:name="п_2_3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Потребитель, имеющий намерение в соответствии с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</w:t>
      </w:r>
      <w:bookmarkEnd w:id="2"/>
      <w:r>
        <w:rPr>
          <w:highlight w:val="white"/>
        </w:rPr>
      </w:r>
      <w:bookmarkStart w:id="3" w:name="п_2_4_5"/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 Договора в одностороннем порядке отказаться от исполнения Договора полностью или уменьшить объемы энергии (мощности),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приобретаемые по Договору, обязан передать поставщику письменное уведомление об этом не позднее, чем за 20 рабочих дней до заявляемой им даты расторжения или изменения Договора способом, позволяющим подтвердить факт и дату получения указанного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нарушении Потребителем требования настоящего пункта об уведомлении поставщика в установленные сроки и (или) при нарушении им требования о выполнении условий, предусмотренных пунктами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Договора, определенные настоящим Договором обязательства Потребителя и поставщика сохраняются в неизменном виде вплоть до момента надлежащего выполнения указанных требований.</w:t>
      </w:r>
      <w:bookmarkEnd w:id="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 потребителя, соответствующие требованиям, предъявляемым ГОСТ 32144-2013 по точки поставки, указанным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Приложениях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и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"прил_7"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5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смене собственника или иного законного владельца, точек поставки электрической энергии по данному договору, изменения пер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ечня субабонентов, банковских реквизитов, почтового и юридического адреса, адреса веб-сайта, электронной почты, контактных телефонов, факса, потребитель обязан уведомить об этом поставщика в срок не позднее 5 рабочих дней с момента произошедших изменений.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от поставщика уведомления о вводе режима ограничения электропотребления электрической энергии (мощности) потребитель обязан незамедлительно уведомить об этом субабонентов, указанных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к настоящему договору,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 предп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ринять все необходимые действия для обеспечения бесперебойной поставки им электрической энергии. Потребитель несёт ответственность за невыполнение таких действий, в том числе за убытки субабонентов, возникшие вследствие невыполнения таких действий.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письменному требованию поставщика вводить режим частичного или полного ограничения потребления электрической энергии (мощности) субабонентам, указанным в Приложении №2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настоящему договору. В случае неисполнения потребителем требований данного пункта договора, объём потреблённой субабонентом электрической энергии (мощности), в отношении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оторого вводится режим частичного или полного ограничения потребления электрической энергии, с момента планируемого ограничения и до момента его отмены поставщиком, будет учитываться как собственное потребление электрической энергии (мощности)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обнаружении Потребителем, являющимся собственником энергопринимающих устрой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ств, в границах балансовой принадлежности которых установлен расчетный прибор учета, принадлежащий сетевой организации, поставщику или другому лицу, при выявлении фактов его неисправности или утраты обязан в течение одних суток сообщить об этом поставщику.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в соответствии с Федеральным законом «О персональных данных» от 27.07.2006г. № 152-ФЗ своей волей и в своем интересе вы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ражает Поставщику, зарегистрированному по адресу: Российская Федерация, Саратовская область, г. о. город Саратов, г. Саратов, ул. им. Мичурина И.В., д. 166/168 , своё согласие на обработку персональных данных, согласно Приложению № 6 к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284"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2.4. Потребитель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Start w:id="4" w:name="п_2_4_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Выбрать в случаях и порядке, определенных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положения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ценовую категорию для производства расчётов за потребленную электрическую энергию (мощность) по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4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Заявлять поставщику об ошибках, обнаруженных в расчётном документе. Подача заявления об ошибке в расчётном документе не освобождает потребителя от обязанности принять и оплатить в установленный срок расчётный документ в неоспариваемой части.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отказаться от исполнения Договора полностью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соблюдени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условий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предусмотренн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Договора,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 также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условии оплаты поставщику не позднее, чем за 10 рабочих дней до заявляемой Потребителем даты расторжения Договора стоимости потребленной энергии (мощности), что должно быть подтверждено оплатой счета, выставляемого поставщиком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bookmarkStart w:id="5" w:name="п_2_4_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уменьшить объемы энергии (м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ощности), приобретаемые у поставщика, путем приобретения части объемов энергии (мощности) по договору, обеспечивающему продажу энергии (мощности), заключенному с производителем электрической энергии (мощности) на розничном рынке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Договора.</w:t>
      </w:r>
      <w:bookmarkEnd w:id="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даты утраты поставщиком его статуса перейти на обслуживание к организации, которой присвоен статус гарантирующего поставщика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 энергосбытовой (энергоснабжающей) организации или производителю энергии (мощности) на розничном рынке.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2.4.6.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3.  Учет потребления электрической энергии (мощности).</w:t>
      </w:r>
      <w:bookmarkStart w:id="6" w:name="_Ref17288010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3.1. Определение объема потребления (производства) электрической энергии (мощности), а также оказанных услуг по передаче электрической энергии осуществляется на основании: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показаний приборов учета, в том числе включенных в состав измерительных комплексов, систем учета и приб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оров учета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электрической энергии, присоединенных к интеллектуальным системам учета электрической энергии (мощности), и интеллектуальных систем учета электрической энергии (мощности), находящихся по адресам, указанным в Приложении № 3 к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 отсутствии актуальных пок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азаний или непригодности к расчетам приборов учета, измерительных комплексов - на основании расчетных способов, которые определяются замещающей информацией или иными расчетными способами, предусмотренных действующим законодательством Российской Федерации.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едения об объёмах потребления электрической энергии (мощности) за расчётный период формируются с учётом ценовой категории, используемой в расчётах в соответствии с требованиями п.2.3.5. и п.2.4.1.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Сетев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ая организация обеспечивает коммерческий учет электрической энергии (мощности) в том числе замену, допуск в эксплуатацию приборов учета и (или) иного оборудования, а также нематериальных активов, которые необходимы для обеспечения коммерческого учета элект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рической энергии (мощности), и последующую их эксплуатацию, в том числе посредством интеллектуальных систем учета электрической энергии (мощности) в отношении непосредственно или опосредованно присоединенных к принадлежащим им на праве собственности или ин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ом законном основании объектам электросетевого хозяйства, энергопринимающих устройств потребителей электрической энергии (мощности), за исключением случаев, когда соответствующие обязанности возложены законодательством РФ об электроэнергетике на иное лицо.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нические данные приборов учета (измерительных комплексов), их балансовая принадлежность, а также сведения о юридическом(их) лице(ах), ответственном(ых) в соответствии с законодательством РФ об электроэнергетике за эксплуатацию приборов учета, содержатся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тевая организация в случае неисполнения или ненадлежащего исполнения указанных обязанностей по установке, замене и допуску в эксплуатацию прибора учета несет ответственность, предусмотренную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Собственники приборов учета и (или) иного оборудования, используемых для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обеспечения коммерческого учета электрической энергии (мощности), а также собственники (владельцы) и (или) пользователи объектов, на которых установлены такие приборы учета и (или) иное оборудование, не вправе по своему усмотрению демонтировать приборы уч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ета и (или) иное оборудование, ограничивать к ним доступ, вмешиваться в процесс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контроля коммерческого учета электрической энергии (мощности), в том числе препятствовать проведению проверок целостности и корректности их работы, использованию для этих целей данных, получаемых с принадлежащих им приборов учета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Обязанность по обеспечению сохранности и целостности прибора учета 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 возлагается на собственника (владельца) энергопринимающих устройств, объектов по производству эл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ектрической энергии (мощности), объектов электросетевого хозяйства, в границах балансовой принадлежности которых установлены приборы учета и (или) иное оборудование, которое используется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Указанные лица в соответствии с законодательством Российской Федерации обязаны возместить сетевой организации (поставщику) убытки, причиненные неисполнением или ненад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Порядок установки (замены) и допуска установленного прибора учета в эксплуатацию лицом, обязанным осуществлять такие действия в соответствии с законодательством РФ об электроэнергетике, в том числе порядок действий Потребителя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оставщика в рамках указанных процедур,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рядок сообщения о выходе прибора учета (измерительного комплекса, измерительных трансформаторов) из строя и его (их) утрате установлены Основными положениями функционирования розничных рынков электрической энергии и иными нормативными правовыми актами РФ.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3.5.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Объём принятой и подлежащей оплате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отребителем электрической энергии (мощности) определяется без учёта объёмов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потребления электрической энергии (мощности) субабонентов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2).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расположения объектов энергоснабжения потребителя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нежилых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помещения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многоквартирных жилых 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потребитель та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кже оплачивает объем потребленной электрической энергии на содержание общего имущества (далее – СОИ) многоквартирного дома. Расчет объема и стоимости потребленной электрической энергии на СОИ, производится в соответствии с требованиями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если прибор учета расположен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 границе балансовой принадлежности объектов электроэнергетики (энерг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опринимающих устройств) потребителя, объем потребления (производства, передачи) электрической энергии, определенный на основании показаний такого прибора учета, в целях осуществления расчетов по настоящему договору подлежит корректировке на величину потерь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электрической энергии, указанных в Приложении № 2 и Приложении № 3 к настоящему договору, возникающих на участке сети от границы балансовой принадлежности объектов электроэнергетики (энергопринимающих устройств) потребителя до места установки прибора учет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а. Расчет величины потерь в таком случае осуществляется сетевой организацией в соответствии с актом уполномоченного федерального органа, регламентирующим расчет нормативов технологических потерь электрической энергии при ее передаче по электрическим сетям.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если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определение объема потребленной энергии в рамках Договора осуществляется с использованием совокупности точек учета, при этом безучетное потребление выявлено только в отношени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одной (нескольких) из используемых точек учета, при отсутствии согласованного в рамках Договора распределения величины максимальной мощности по точкам учета, расчет объема безучетного потребления производится расчетным способом, установленным действующим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законодательством РФ, с учетом распределения максимальной мощности энергопринимающих устройств в границах балансовой принадлежности по точкам учета пропорционально величине допустимой длительной токовой нагрузки соответствующего вводного провода (кабеля).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факту выявленного в ходе проверки безучетного потребления электрической энергии сетевой организацией составляется акт о неучтенном потреблении электрической энергии на основании, которого осуществляются расчеты за потребленную таким образом электроэнергию.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Лицами, ответственными за снятие показаний расчетного прибора учета, являются: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567" w:leader="none"/>
        </w:tabs>
        <w:rPr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сетевая организация в отношении приборов учета, присоединенных к интеллектуальным системам 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сетевых организаций или в границах бесхозяйных объектов электросетевого хозяйства;</w:t>
      </w:r>
      <w:r>
        <w:rPr>
          <w:highlight w:val="white"/>
        </w:rPr>
      </w:r>
      <w:r>
        <w:rPr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потребители, собственники (владельцы) объектов электросетевого хозяйства в отношении расчетных приборов учета, установленных в границах объектов таких лиц и не присоединенных к интеллектуальным системам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 по обеспечению учёта потреблённой электрической энергии (мощности),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9"/>
        </w:numPr>
        <w:jc w:val="center"/>
        <w:keepNext/>
        <w:spacing w:before="240"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Ограничение режима потребления электрической энергии (мощности).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Порядок и основа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введения ограничения режима потребления энергии в отношении энергопринимающих устройств и (или) объектов электроэнергетики Потребителя по Договору, в том числе по инициативе поставщика, порядок и основания возобновления подачи энергии, устанавливаются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потребителя о введении ограничения режима потребления электрической энергии (мощности) осуществляется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вручение уведомления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заказным письмом на почтовый адрес потребителя, указанный в п.11.2 настоящего договора,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уведомлением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 вручении почтового отправления;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п.6.7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потребителю через «личный кабинет клиента» на официальном сайте поставщика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"http://www.saratovenergo.ru/"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www.saratovenergo.ru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сканированном виде на адрес электронной почты потребителя, указанный в п.11.2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посредством включения текста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ления в счет на оплату потребленной электрической энергии (мощности), оказанных услуг по передаче электрической энергии и (или) услуг, оказание которых является неотъемлемой частью процесса поставки электрической энергии потребителю по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короткого текстового сообщения (смс-сообщение) на номер мобильного телефона потребителя, указанный в п.11.2 договора, и иным способом, позволяющим подтвердить доставку уведомления о введении ограничения режима потребления.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подачи электрической энергии осуществляется после устранения Потребителем оснований для введения ограничения режима потребления в порядке и сроки, установленные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о введении ограничения режима потребления считается доставленным, а Потребитель надлежащим образом, уведомленным в день доставки Потребителю уведомления способами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указанными в соответствии с требованиями п.4.2.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7" w:name="_Hlk102121750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соглашаются и признают, что подтверждением надлежащего уведомлени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 Потребителя о введении ограничения режима потребления являются: по адресу электронной почты – распечатка страницы электронной почты с указанием даты и времени направления письма с отсканированным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текстом уведомления на адрес электронной почты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указанный в п.11.2. Договора; посредством «Личного кабинета» – распечатка скриншота интернет-страницы «Личного кабинета», с указанием ее адреса, а также даты и времени размещения уведомления о введении ограничения, с отсканированным текстом уведомления.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360" w:right="-1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6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7"/>
        </w:numPr>
        <w:ind w:right="-1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highlight w:val="white"/>
        </w:rPr>
      </w:r>
      <w:bookmarkEnd w:id="7"/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Цена договора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17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риентировочная цена настоящего договора составляет: ____________ тыс.руб., в том числе НДС ____________ тыс.руб. Ориентировочная цена рассчитана исходя из произведения договорного количества поставки электрической энергии (мощности) на прогнозные значения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цен, сформирован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ных на основании фактически сложившихся предельных уровней нерегулируемых цен на электрическую энергию (мощность) за последний месяц, с учетом выбранной Потребителем для расчетов ценовой категории указанной в Приложении № 1.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5"/>
        </w:numPr>
        <w:ind w:right="-1" w:firstLine="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Расчеты за электрическую энергию (мощность) и оказанные услуги.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Расчетным периодом считается календарный месяц, периоды платежей определяются сроками промежуточных платежей, установленных внутри расчетного периода. Поставщик производит расчёты за фактически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требленную в расчетном периоде электрическ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ую энергию (мощности) и выставляет потребителю в сроки, указанные в настоящем договоре платёжные документы на оплату поставленной электрической энергии (мощности), а также иных оказанных услуг по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производит расчёты и выставляет потребителю в сроки, указанные в настоящем договоре, счета-фактуры и счета на оплату: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потреблённой за расчётный период электрической энергии и мощности, объём которой сформирован в соответствии с условиями договора и действующего законодательства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безучётного потребления электрической энергии и мощности, при наличии надлежащим образом оформленного акта, подтверждающего данный факт и обоснованного расчёта объёмов безучётного потребления электрической энергии и мощности;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затрат, понесенных поставщиком в связи с введением в отношении потребителя, ограничения режима потребления электрической энергии (мощности), согласно пункта 2.2.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и порядка, предусмотренного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азделом 4 Договора, а также возобновления подачи электрической энергии (мощности) после устранения причин, явившихся основанием для ограничения режима потребления электрическо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й энергии (мощности). Расчёт стоимости оказанных поставщиком и сетевой организацией услуг производится поставщиком на основании калькуляций, утвержденных в установленном порядке, в рамках предельных значений, установленных действующим законодательством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неустойки за нарушение обязательств по оплате в соответствии с условиями пункта 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настоящего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убытков поставщика, причиненных неисполнением или ненадлежащим исполнением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отребителем обязанностей по обеспечению сохранности и целостности установленных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оставщиком приборов учета и (или) иного оборудования, которые используются для обеспечения коммерческого учета электрической энергии (мощности), согласно требованиям, п.3.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 и требованиям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в течение текущего расчётного периода производит оплату поставщику за электрическую энергию и мощность, в следующие сроки: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- 30% стоимости электрической энергии (мощности) в подлежащем оплате объёме покупки в месяце, за который осуществляется оплата, вносится до 10-го числа этого месяца;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- 40% стоимости электрической энергии (мощности) в подлежащем оплате объёме покупки в месяце, за который осуществляется оплата, вносится до 25-го числа этого месяца.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Стоимость электрической энергии (мощности) в подлежащем оплате объёме покупки определяется исходя из нерегулируемых цен на электрическую энергию (мощность) за предшествующий расчётный период для соответствующей ценовой  категории с уч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ётом дифференциации нерегулируемых цен и фактического объёма потребления электрической энергии (мощности) за предшествующий расчётный период, без учёта объёмов поставки электрической энергии (мощности), приобретённой потребителем для поставки её населению.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выставления счёта для оплаты электрической энергии (мощности) до определения цены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электрическую энергию (мощность) за предшествующий расчётный период для определения размера платежей используется нерегулируемая цена на электрическую энергию (мощность) за последний расчётный период, в отношении которого она определена и официально опубл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икована для соответствующей ценовой категории с учётом дифференциации нерегулируемых цен.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отсутствия сведений о фактическом объёме потребления электрической эне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ргии (мощности) за предшествующий расчётный период, об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ъём покупки электрической энергии (мощности) рассчитывается исходя из отношения максимальной мощности, указанной в приложении № 5 к настоящему договору, и коэффициента оплаты мощности, равного 0,002824.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Стоимость объема покупки электрической энергии и мощности, а также услуг по передаче электрической энергии в месяце, за который осуществляется оплата, за вычетом средств, внесе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нных Потребителем в качестве оплаты электрической энергии и мощности, услуг по передаче электрической энергии внесенных потребителем согласно требованиям, п.6.3. настоящего договора, оплачивается потребителем до 18-го числа месяца, следующего за расчетным.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Объем потребленной электрической энергии оплачивается по нерегулируемым ценам в рамках предельных уровней нерегулируемых цен, определяемых и применяемых в соответствии с Основные положения функционирования розничных рынков электрической энергии.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размер оплаты, произведенной потребителем в соответствии с требованиями пункта 6.3. настоящего догов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ора, превысит стоимость фактического объема покупки электрической энергии (мощности) в месяце, за который осуществляется оплата, излишне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уплаченная сумма засчитывается в счет платежа за месяц, следующий за месяцем, в котором была осуществлена такая оплата.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в срок до 16 числа месяца, следующего за расчётным, выставляет потребителю следующие документы: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акт приема-передачи электрической энергии (мощности) за расчётный период;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счёт-фактуру на объём и стоимость потреблённой электрической энергии и мощности, и другие услуги, неразрывно связанные с процессом передачи электрической энергии;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корректировочные либо исправительные счёта-фактуры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изменение в акты об объёме фактически потреблённой электрической энергии и мощности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ёт (единый или раздельные счета) на суммы, подлежащие оплате потребителем в адрес поставщика, по итогам расчётного периода.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не позднее 3 рабочих дней с момента получения от поставщика акта приема-передачи электрической энергии (мощности) за расчётный период, или изменений в акт за период, предшествующий 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асчётному, направленных поставщиком в соответствии с требованиями пункта 6.5. договора, направляет способами, указанными в п. 6.7 настоящего договора, поставщику подписанный со своей стороны экземпляр данного акта, либо мотивированный письменный отказ от 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 подписания. В случае если в течении 3 рабочих дней с момента получения акта приема-передачи потребитель не подпишет его либо не предоставит поставщику мотивированные возражения  по нему, акт приема-передачи считается согласованным со стороны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</w:t>
      </w:r>
      <w:bookmarkStart w:id="8" w:name="п_6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пришли к соглашению об использовании электронного документооборота при выставлении поставщиком и получении Потребителем актов приема-передачи, счетов-фактур, счетов на оплату энергии (мощности), универсальных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передаточных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документов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(при уведомлении Поставщика не менее чем за 5 рабочих дней до начала расчетного периода)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претензий (требований), в соответствии с одним из нижеследующих вариантов:</w:t>
      </w:r>
      <w:bookmarkEnd w:id="8"/>
      <w:r>
        <w:rPr>
          <w:highlight w:val="white"/>
        </w:rPr>
      </w:r>
      <w:bookmarkStart w:id="9" w:name="_Hlk102559560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Обмен электронными документами, подписанными усиленной квалифицированной электронной подписью, посредством системы электронного документооборота (Диадок / СБИС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)_____________________________, оператором которой является___________________________________________, (АО «ПФ «СКБ Контур» / ООО «Компания «Тензор»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                                                                                                                                                   по телекоммуникацион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ным каналам связи – в порядке, установленном настоящим Договором, действующим законодательством РФ, а также договорами об обмене электронными документами, заключенными Сторонами с соответствующим оператором электронного документооборота (далее – Оператор).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9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участия в электронном документообороте и соблюдения условий Договора в части выставления и получения электронных документов Сторонам следует: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а) иметь действующий сертификат квалифицированной электронной подписи, используемый для сдачи отчётности в контролирующие органы через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б) оформить и предоставить Оператору заявление об участии в электронном документообороте по телекоммуникационным каналам связи;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в) заключить с Оператором договор об участии в электронном документообороте;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г) получить у Оператора идентификатор участника электронного документооборота, реквизиты доступа и другие данные, необходимые для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подключения к электронному документообороту по телекоммуникационным каналам связи, а также при необходимости настроить роуминг (функцию межоператорского взаимодействия для обмена электронными данными) между операт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орами электронного документооборота Сторон;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д) после входа в систему электронного документооборота добавить другую Сторону Договора в список контрагентов.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Каждая Сторона вправе приостановить электронный документооборот на основании письменного уведомления другой Стороны. В уведомле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нии указываются причины, дата начала приостановления и срок приостановления электронного документооборота. На период приостановления электронного документооборота в целях обмена платежно-расчетными документами Стороны переходят к варианту, описанному в п.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6.7.2. договора, либо на бумажный документооборот. В указанном случае Стороны вправе согласовать иные способ и место получения счетов и первичных учетных документов на оплату энергии (мощности) по Договору посредством заключения дополнительного соглашения.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электронного документооборота производится на основании письменного уведомления Стороной – инициатором приост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ановления электронного документооборота другой Стороны.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отсутствии у Сторон(ы) доступа к систем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электронного документооборота поставщик направляет Потребителю счета, акт приема-передачи энергии (мощности) и счет-фактуру за расчетный период через «Личный кабинет», а при недоступности «Личного кабинета», или отсутствии у Потребителя регистрации в «Ли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чном кабинете» на адрес электронной почты, указанный Потребителем в п. 11.2 договора. Поставщик имеет право направлять по электронной почте первичные документы с любых адресов, имеющих в названии доменное имя sarenergo.ru или interrao.ru, а также с адрес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"mailto:noreply@mpi.sarenergo.ru"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sz w:val="18"/>
          <w:szCs w:val="18"/>
          <w:highlight w:val="white"/>
        </w:rPr>
        <w:t xml:space="preserve">noreply@mpi.sarenergo.ru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отсутствии возможности у потребителя получения информации способами, указанными в п. 6.7.1 и 6.7.2, оригиналы 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етов (счета-фактуры), актов приема-передачи энергии на бумажном носителе, подписанные уполномоченным лицом поставщика, выдаются Потребителю по его письменному запросу в течение 5 рабочих дней и подлежат получению Потребителем в месте нахождения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Потребителем первичных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кументов (актов приема-передачи энергии (мощности), счетов-фактур за расчетный период) одновременно в соответствие с п. 6.7.1 и п. 6.7.2. настоящего Договора приоритет имеют документы, направленные/полученные в соответствие с п. 6.7.1.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авщик в течение 5 рабочих дней со дня получении уведомления от потребителя о намерении отказаться от исполнения настоящего договора полностью или уменьшить объемы приобретаемой электрической энергии и мощности направляет потребителю счет, выставленный в со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ответствии с требованиями Основных положений функционирования розничных рынков электрической энергии. Выставленный поставщиком счет должен быть оплачен потребителем не позднее чем за 10 рабочих дней до заявленной им даты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личии сумм, излишне внесенных потребителем в счет оплаты электрической энергии (мощности), поставщик направляет потребителю соответствующее извещение в течение 5 рабочих дней со дня получения уведомления о расторжении или изменении договора от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осуществления окончательных расчетов за электрическую энергию (мощность) потребитель обязан обеспечить предоставление поставщику показаний приборов учета, используемых для расчетов по договору, на дату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Окончательные расчеты за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электрическую энергию (мощность) должны быть произведены сторонами договора не позднее 5 рабочих дней после определения предельных уровней нерегулируемых цен за соответствующий расчетный период.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Плата считается произведенной со дня зачисления денежных средств на расчётный счет поставщика, указанный в настоящем договоре или сообщённый письмом поставщика. Доказательством оплаты является представленная банком выписка из лицевого счета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Сверка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расчетов за потребленную электрическую энергию производиться по требованию поставщ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ика (но не реже 1 раза в квартал), с оформлением актов сверки расчетов в двух экземплярах, по форме установленной поставщиком. Акты сверки расчетов подписываются потребителем в течении 14 (четырнадцати) дней с момента его получения от поставщика. В случае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если в течении 14 (четырнадцати) дней с момента получения акт сверки потребитель не подпишет его и не предоставит поставщику мотивированные возражения по нему, способом указанным в п.6.7. настоящего договора, акт сверки считается согласованным потребителем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6.11.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потребитель в платёжном документе не указал назначение платежа либо указал его некорректно, сумма произведенного платежа распределяется в следующей последовательности: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задолженность потребителя по прошедшим неоплаченным плановым платежам (расчётным периодам);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плановый платеж потребителя текущего периода;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плановый платеж потребителя последующего периода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неустойка за нарушение обязательств по оплате, в соответствии с условиями пункта 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6.12.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1"/>
        </w:numPr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Ответственность сторон за нарушение условий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7.1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Стороны освобождаются от ответственности за неисполнение или ненадлежащее исполнение обязательств по настоящему договору, если это неисполнение явилось следствием обстоятельств непреодолимой силы, возни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кших после заключения договора – стихийные бедствия, военные действия любого характера, действия третьих лиц, акты государственных органов власти, препятствующие выполнению условий настоящего договора. Сторона, ссылающаяся на обстоятельства непреодолимой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илы, обязана незамедлительно информировать в письменном виде другую сторону о наступлении подобных обстоятельств. Если указанные обстоятельства длятся свыше одного месяца, стороны проводят переговоры с целью достижения приемлемого для обеих сторон решения.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Потребитель несвоевременно и (или) не полностью оплативший электрическую энергию Поставщику, в том числе 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промежуточным платежам, предусмотренным п.6.3. настоящего договора, обязан оплатить ему пени в размере и порядке, установленном требованиями Федерального закона от 26.03.2003 № 35-ФЗ «Об электроэнергетике» и иных действующих нормативных правовых актов.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8. Порядок разрешения споров.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 всех случаях, не предусмотренных нас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тоящим договором, стороны руководствуются действующим законодательством РФ, решениями органов исполнительной власти, уполномоченных в области государственного регулирования тарифов, другими действующими нормативными и правовыми актами Российской Федерации.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Споры, связанные с неисполнением или ненадлежащим исполнением настоящего договора, рассматриваются в Арбитражном суде Саратовской области.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numPr>
          <w:ilvl w:val="1"/>
          <w:numId w:val="20"/>
        </w:numPr>
        <w:ind w:lef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Претензионный порядок считается соблюденным по истечении пяти дней со дня направления претензии (требования) потребителю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 вручение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 отправка заказным письмом на почтовый адрес потребителя, указанный в п.11.2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в) </w:t>
        <w:tab/>
        <w:t xml:space="preserve">в электронном виде с использованием телекоммуникационных каналов связи и усиленной квалифицированной электронной подписи, посредством системы электронного документооборота, в соответствии с требованиями п.6.7.1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г)</w:t>
        <w:tab/>
        <w:t xml:space="preserve">через «личный кабинет клиента» на официальном сайте поставщика www.saratovenergo.ru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д)</w:t>
        <w:tab/>
        <w:t xml:space="preserve">в сканированном виде на адрес электронной почты потребителя, указанный в п.11.2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numPr>
          <w:ilvl w:val="0"/>
          <w:numId w:val="20"/>
        </w:numPr>
        <w:ind w:right="0"/>
        <w:jc w:val="center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Конфиденциальность.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в течение срока действия настоящего договора, а также в течение 3 (трёх) лет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Договора (в том числе персональных данных), за исключением информации и данных, явл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яющихся общедоступными (далее -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 152-ФЗ от 27.07.2006 года.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является нарушением конфиденциальности предоставле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ние конфиденциальной информации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законному требованию правоохранительных и иных уполномоченных государственных органов, и должностных лиц в случаях и в порядке, предусмотренных применимым законодательством. Договор может быть передан системообразующей территориальной сетевой организации.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644" w:right="-1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10. Срок действия и порядок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5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Настоящий договор вступает в силу с момента его подписания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торонами, распространяет своё действие на отношения сторон, возникшие с 00 часов 00  минут «___»_________ 202___г. и действует до 24 часов 00  минут  «___» ________ 202__г., а в части оплаты по договору, до полного исполнения обязательств Сторон. Договор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читается ежегодно продленным на следующий календарный год на тех же условиях, если за 30 календарных дней до окончания срока его действия ни одна из сторон не заявит о прекращении его действия, изменении условий договора, либо о заключении нового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Исполнение обязательств поставщика по настоящему договору осуществляется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соответствии с действующим законо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дательством.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Прекращение (приостановление) действия настоящего договора не освобождает стороны от обязательств по возмещению имеющейся дебиторской или кредиторской задолженности, возникшей при исполнении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Изменения условий настоящего договора и дополнения к нему производятся путём заключения дополнительных соглашений, подписанных обеими сторонами, в течение всего срока действия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Приложения к договору: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10" w:name="прил_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1: </w:t>
      </w:r>
      <w:bookmarkEnd w:id="10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«Договорные объемы потребления электрической энергии и мощности»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заявки потребителя;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11" w:name="прил_4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2: «Перечень субабонентов потребителя»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данных, предоставленных потребителем и (или) собственной информации поставщика о наличии заключенных с субабонентами договоров;</w:t>
      </w:r>
      <w:bookmarkEnd w:id="11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3: «Адреса установки и спецификация приборов учёта потребителя»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данных, предоставленных потребителем;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4: «Акт согласования технологической и аварийной брони»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предоставляется поставщику потребителем и оформляется с сетевой организацией потребителем самостоятельно при наличии у потребителя объектов электроснабжения ограничение режима потреблени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я электрической энергии (мощности) которого может привести к возникновению угрозы жизни и здоровью людей, экономическим, экологическим, социальным последствиям и (или) безопасности государства, к необратимому нарушению непрерывных технологических процессов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5: «Перечень точек поставки электрической энергии»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документов, предоставленных потребителем при заключении настоящего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6: «Согласие на обработку персональных данных»;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7: «Формат предоставления почасовых данных об объёмах потребления электрической энергии (мощности) за расчётный период»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Оформляется при использовании в расчётах с 3 по 6 ЦК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non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7.1. «Формат предоставления интегральных данных об объёмах потребления электрической энергии (мощности) за расчётный период».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none"/>
        </w:rPr>
      </w:r>
    </w:p>
    <w:p>
      <w:pPr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none"/>
        </w:rPr>
      </w:r>
      <w:r>
        <w:rPr>
          <w:rFonts w:ascii="Liberation Serif" w:hAnsi="Liberation Serif" w:cs="Liberation Serif"/>
          <w:sz w:val="18"/>
          <w:szCs w:val="18"/>
          <w:highlight w:val="non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Настоящий договор с приложениями (являющимися неотъемлемой частью договора) составлен в двух экземплярах (по одному для каждой из сторон), имеющих равную юридическую силу.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11. Юридические адреса Сторон и банковские реквизиты: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left="-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99"/>
        <w:gridCol w:w="495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11.1 Поставщик ПАО «Саратовэнерго»: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11.2. Потребитель: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  <w:tr>
        <w:tblPrEx/>
        <w:trPr>
          <w:trHeight w:val="230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ОКПО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официального сайта ПАО «Саратовэнерго»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"http://www.saratovenergo.ru/"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http://www.saratovenergo.ru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Адресная ссылка личного кабинет юридического лица (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"https://lk.saratovenergo.ru/" \l "login"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https://lk.saratovenergo.ru/#login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электронной почты для передачи показаний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"mailto:pokazaniapuul@interrao.ru"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pokazaniapuul@interrao.ru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официальной почты ПАО «Саратовэнерго»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"mailto:office@sarenergo.ru"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office@sarenergo.ru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Почтовый адрес 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____________________________________________________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ОКПО</w:t>
              <w:tab/>
              <w:t xml:space="preserve">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Мобильный телефон для передачи смс-сообщений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приемной______________________________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гл.энергетика 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бухгалтерии 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официальной эл.почты_________________________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57" w:type="dxa"/>
            <w:vAlign w:val="top"/>
            <w:textDirection w:val="lrTb"/>
            <w:noWrap w:val="false"/>
          </w:tcPr>
          <w:p>
            <w:pPr>
              <w:pStyle w:val="931"/>
              <w:ind w:left="-284"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  <w:highlight w:val="white"/>
              </w:rPr>
              <w:t xml:space="preserve">Подписи Сторон: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left="-284"/>
              <w:keepNext/>
              <w:widowControl w:val="off"/>
              <w:tabs>
                <w:tab w:val="left" w:pos="3968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</w:tbl>
    <w:p>
      <w:pPr>
        <w:pStyle w:val="931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Поставщик</w:t>
        <w:tab/>
        <w:tab/>
        <w:tab/>
        <w:tab/>
        <w:tab/>
        <w:tab/>
        <w:t xml:space="preserve">Потребитель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_______________________/____________________</w:t>
        <w:tab/>
        <w:tab/>
        <w:t xml:space="preserve">______________________________/___________________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keepNext/>
        <w:widowControl w:val="off"/>
        <w:rPr>
          <w:vanish/>
          <w:highlight w:val="white"/>
        </w:rPr>
      </w:pP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0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6581793</wp:posOffset>
                </wp:positionV>
                <wp:extent cx="6755130" cy="40386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5513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2;o:allowoverlap:true;o:allowincell:false;mso-position-horizontal-relative:text;margin-left:54.70pt;mso-position-horizontal:absolute;mso-position-vertical-relative:text;margin-top:518.25pt;mso-position-vertical:absolute;width:531.90pt;height:31.80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м.п.</w:t>
        <w:tab/>
        <w:tab/>
        <w:tab/>
        <w:tab/>
        <w:tab/>
        <w:tab/>
        <w:tab/>
        <w:t xml:space="preserve">м.п.</w:t>
      </w: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0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1933575</wp:posOffset>
                </wp:positionV>
                <wp:extent cx="6831330" cy="45720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313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524288;o:allowoverlap:true;o:allowincell:false;mso-position-horizontal-relative:text;margin-left:51.70pt;mso-position-horizontal:absolute;mso-position-vertical-relative:text;margin-top:152.25pt;mso-position-vertical:absolute;width:537.90pt;height:36.00pt;mso-wrap-distance-left:9.00pt;mso-wrap-distance-top:0.00pt;mso-wrap-distance-right:9.00pt;mso-wrap-distance-bottom:0.00pt;visibility:visible;" fillcolor="#FFFFFF" stroked="f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2938145</wp:posOffset>
                </wp:positionV>
                <wp:extent cx="6523990" cy="398145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523990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58241;o:allowoverlap:true;o:allowincell:false;mso-position-horizontal-relative:text;margin-left:58.00pt;mso-position-horizontal:absolute;mso-position-vertical-relative:text;margin-top:231.35pt;mso-position-vertical:absolute;width:513.70pt;height:31.35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vanish/>
          <w:highlight w:val="white"/>
        </w:rPr>
      </w:r>
      <w:r>
        <w:rPr>
          <w:vanish/>
          <w:highlight w:val="white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640" w:right="282" w:bottom="890" w:left="992" w:header="0" w:footer="2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Noto Sans Devanagari">
    <w:panose1 w:val="020B0502040504020204"/>
  </w:font>
  <w:font w:name="StarSymbol">
    <w:panose1 w:val="02000603000000000000"/>
  </w:font>
  <w:font w:name="Symbol">
    <w:panose1 w:val="05010000000000000000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ind w:right="-1"/>
      <w:tabs>
        <w:tab w:val="clear" w:pos="8306" w:leader="none"/>
      </w:tabs>
    </w:pPr>
    <w:r>
      <w:t xml:space="preserve">стр. </w:t>
    </w:r>
    <w:r>
      <w:rPr>
        <w:rStyle w:val="1004"/>
      </w:rPr>
      <w:fldChar w:fldCharType="begin"/>
    </w:r>
    <w:r>
      <w:rPr>
        <w:rStyle w:val="1004"/>
      </w:rPr>
      <w:instrText xml:space="preserve"> PAGE </w:instrText>
    </w:r>
    <w:r>
      <w:rPr>
        <w:rStyle w:val="1004"/>
      </w:rPr>
      <w:fldChar w:fldCharType="separate"/>
    </w:r>
    <w:r>
      <w:rPr>
        <w:rStyle w:val="1004"/>
      </w:rPr>
      <w:t xml:space="preserve">2</w:t>
    </w:r>
    <w:r>
      <w:rPr>
        <w:rStyle w:val="1004"/>
      </w:rPr>
      <w:fldChar w:fldCharType="end"/>
    </w:r>
    <w:r>
      <w:rPr>
        <w:rStyle w:val="1004"/>
      </w:rPr>
      <w:t xml:space="preserve"> из </w:t>
    </w:r>
    <w:r>
      <w:rPr>
        <w:rStyle w:val="1004"/>
      </w:rPr>
      <w:fldChar w:fldCharType="begin"/>
    </w:r>
    <w:r>
      <w:rPr>
        <w:rStyle w:val="1004"/>
      </w:rPr>
      <w:instrText xml:space="preserve"> NUMPAGES \* ARABIC </w:instrText>
    </w:r>
    <w:r>
      <w:rPr>
        <w:rStyle w:val="1004"/>
      </w:rPr>
      <w:fldChar w:fldCharType="separate"/>
    </w:r>
    <w:r>
      <w:rPr>
        <w:rStyle w:val="1004"/>
      </w:rPr>
      <w:t xml:space="preserve">9</w:t>
    </w:r>
    <w:r>
      <w:rPr>
        <w:rStyle w:val="1004"/>
      </w:rPr>
      <w:fldChar w:fldCharType="end"/>
    </w:r>
    <w:r>
      <w:rPr>
        <w:rStyle w:val="1004"/>
      </w:rPr>
      <w:t xml:space="preserve">       __________________ Поставщик                                                        __________________ Потребитель</w:t>
    </w:r>
    <w:r/>
  </w:p>
  <w:p>
    <w:pPr>
      <w:pStyle w:val="1018"/>
      <w:ind w:right="-1"/>
      <w:tabs>
        <w:tab w:val="clear" w:pos="8306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2" w:hanging="432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74" w:hanging="432"/>
        <w:tabs>
          <w:tab w:val="num" w:pos="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ind w:left="1146" w:hanging="720"/>
        <w:tabs>
          <w:tab w:val="num" w:pos="14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2" w:hanging="212"/>
        <w:tabs>
          <w:tab w:val="num" w:pos="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354" w:hanging="21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856" w:hanging="572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998" w:hanging="572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140" w:hanging="57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42" w:hanging="932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784" w:hanging="932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86" w:hanging="1292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428" w:hanging="1292"/>
        <w:tabs>
          <w:tab w:val="num" w:pos="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7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384" w:hanging="384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84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84" w:hanging="38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26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76" w:hanging="144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360" w:hanging="360"/>
        <w:tabs>
          <w:tab w:val="num" w:pos="-92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712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502" w:hanging="360"/>
        <w:tabs>
          <w:tab w:val="num" w:pos="-78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31"/>
    <w:next w:val="931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31"/>
    <w:next w:val="931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31"/>
    <w:next w:val="931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31"/>
    <w:next w:val="931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31"/>
    <w:next w:val="931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31"/>
    <w:next w:val="931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31"/>
    <w:next w:val="931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link w:val="773"/>
    <w:uiPriority w:val="10"/>
    <w:rPr>
      <w:sz w:val="48"/>
      <w:szCs w:val="48"/>
    </w:rPr>
  </w:style>
  <w:style w:type="paragraph" w:styleId="775">
    <w:name w:val="Subtitle"/>
    <w:basedOn w:val="931"/>
    <w:next w:val="931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link w:val="775"/>
    <w:uiPriority w:val="11"/>
    <w:rPr>
      <w:sz w:val="24"/>
      <w:szCs w:val="24"/>
    </w:rPr>
  </w:style>
  <w:style w:type="paragraph" w:styleId="777">
    <w:name w:val="Quote"/>
    <w:basedOn w:val="931"/>
    <w:next w:val="931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31"/>
    <w:next w:val="931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paragraph" w:styleId="781">
    <w:name w:val="Header"/>
    <w:basedOn w:val="931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Header Char"/>
    <w:link w:val="781"/>
    <w:uiPriority w:val="99"/>
  </w:style>
  <w:style w:type="paragraph" w:styleId="783">
    <w:name w:val="Footer"/>
    <w:basedOn w:val="931"/>
    <w:link w:val="7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4">
    <w:name w:val="Footer Char"/>
    <w:link w:val="783"/>
    <w:uiPriority w:val="99"/>
  </w:style>
  <w:style w:type="paragraph" w:styleId="785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basedOn w:val="785"/>
    <w:link w:val="783"/>
    <w:uiPriority w:val="99"/>
  </w:style>
  <w:style w:type="table" w:styleId="7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3">
    <w:name w:val="Hyperlink"/>
    <w:uiPriority w:val="99"/>
    <w:unhideWhenUsed/>
    <w:rPr>
      <w:color w:val="0000ff" w:themeColor="hyperlink"/>
      <w:u w:val="single"/>
    </w:r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next w:val="931"/>
    <w:link w:val="931"/>
    <w:qFormat/>
    <w:rPr>
      <w:lang w:val="ru-RU" w:eastAsia="zh-CN" w:bidi="ar-SA"/>
    </w:rPr>
  </w:style>
  <w:style w:type="character" w:styleId="932">
    <w:name w:val="Основной шрифт абзаца"/>
    <w:next w:val="932"/>
    <w:link w:val="931"/>
    <w:uiPriority w:val="1"/>
    <w:semiHidden/>
    <w:unhideWhenUsed/>
  </w:style>
  <w:style w:type="table" w:styleId="933">
    <w:name w:val="Обычная таблица"/>
    <w:next w:val="933"/>
    <w:link w:val="931"/>
    <w:uiPriority w:val="99"/>
    <w:semiHidden/>
    <w:unhideWhenUsed/>
    <w:tblPr/>
  </w:style>
  <w:style w:type="numbering" w:styleId="934">
    <w:name w:val="Нет списка"/>
    <w:next w:val="934"/>
    <w:link w:val="931"/>
    <w:uiPriority w:val="99"/>
    <w:semiHidden/>
    <w:unhideWhenUsed/>
  </w:style>
  <w:style w:type="character" w:styleId="935">
    <w:name w:val="WW8Num1z0"/>
    <w:next w:val="935"/>
    <w:link w:val="931"/>
    <w:rPr>
      <w:b/>
      <w:sz w:val="20"/>
      <w:szCs w:val="20"/>
    </w:rPr>
  </w:style>
  <w:style w:type="character" w:styleId="936">
    <w:name w:val="WW8Num1z1"/>
    <w:next w:val="936"/>
    <w:link w:val="931"/>
    <w:rPr>
      <w:b w:val="0"/>
      <w:i w:val="0"/>
      <w:sz w:val="24"/>
      <w:szCs w:val="24"/>
    </w:rPr>
  </w:style>
  <w:style w:type="character" w:styleId="937">
    <w:name w:val="WW8Num1z2"/>
    <w:next w:val="937"/>
    <w:link w:val="931"/>
  </w:style>
  <w:style w:type="character" w:styleId="938">
    <w:name w:val="WW8Num2z0"/>
    <w:next w:val="938"/>
    <w:link w:val="931"/>
    <w:rPr>
      <w:rFonts w:ascii="Symbol" w:hAnsi="Symbol" w:cs="StarSymbol"/>
      <w:sz w:val="18"/>
      <w:szCs w:val="18"/>
    </w:rPr>
  </w:style>
  <w:style w:type="character" w:styleId="939">
    <w:name w:val="WW8Num3z0"/>
    <w:next w:val="939"/>
    <w:link w:val="931"/>
    <w:rPr>
      <w:rFonts w:cs="Times New Roman"/>
    </w:rPr>
  </w:style>
  <w:style w:type="character" w:styleId="940">
    <w:name w:val="WW8Num3z1"/>
    <w:next w:val="940"/>
    <w:link w:val="931"/>
    <w:rPr>
      <w:rFonts w:cs="Times New Roman"/>
    </w:rPr>
  </w:style>
  <w:style w:type="character" w:styleId="941">
    <w:name w:val="WW8Num4z0"/>
    <w:next w:val="941"/>
    <w:link w:val="931"/>
    <w:rPr>
      <w:color w:val="000000"/>
    </w:rPr>
  </w:style>
  <w:style w:type="character" w:styleId="942">
    <w:name w:val="WW8Num4z2"/>
    <w:next w:val="942"/>
    <w:link w:val="931"/>
    <w:rPr>
      <w:color w:val="ff0000"/>
    </w:rPr>
  </w:style>
  <w:style w:type="character" w:styleId="943">
    <w:name w:val="WW8Num5z0"/>
    <w:next w:val="943"/>
    <w:link w:val="931"/>
  </w:style>
  <w:style w:type="character" w:styleId="944">
    <w:name w:val="WW8Num5z2"/>
    <w:next w:val="944"/>
    <w:link w:val="931"/>
    <w:rPr>
      <w:b w:val="0"/>
      <w:i w:val="0"/>
      <w:sz w:val="20"/>
      <w:szCs w:val="20"/>
    </w:rPr>
  </w:style>
  <w:style w:type="character" w:styleId="945">
    <w:name w:val="WW8Num6z0"/>
    <w:next w:val="945"/>
    <w:link w:val="931"/>
  </w:style>
  <w:style w:type="character" w:styleId="946">
    <w:name w:val="WW8Num6z2"/>
    <w:next w:val="946"/>
    <w:link w:val="931"/>
    <w:rPr>
      <w:b w:val="0"/>
      <w:i w:val="0"/>
      <w:sz w:val="20"/>
      <w:szCs w:val="20"/>
    </w:rPr>
  </w:style>
  <w:style w:type="character" w:styleId="947">
    <w:name w:val="WW8Num7z0"/>
    <w:next w:val="947"/>
    <w:link w:val="931"/>
  </w:style>
  <w:style w:type="character" w:styleId="948">
    <w:name w:val="WW8Num8z0"/>
    <w:next w:val="948"/>
    <w:link w:val="931"/>
  </w:style>
  <w:style w:type="character" w:styleId="949">
    <w:name w:val="WW8Num9z0"/>
    <w:next w:val="949"/>
    <w:link w:val="931"/>
  </w:style>
  <w:style w:type="character" w:styleId="950">
    <w:name w:val="WW8Num10z0"/>
    <w:next w:val="950"/>
    <w:link w:val="931"/>
  </w:style>
  <w:style w:type="character" w:styleId="951">
    <w:name w:val="WW8Num11z0"/>
    <w:next w:val="951"/>
    <w:link w:val="931"/>
  </w:style>
  <w:style w:type="character" w:styleId="952">
    <w:name w:val="WW8Num12z0"/>
    <w:next w:val="952"/>
    <w:link w:val="931"/>
  </w:style>
  <w:style w:type="character" w:styleId="953">
    <w:name w:val="WW8Num13z0"/>
    <w:next w:val="953"/>
    <w:link w:val="931"/>
  </w:style>
  <w:style w:type="character" w:styleId="954">
    <w:name w:val="WW8Num14z0"/>
    <w:next w:val="954"/>
    <w:link w:val="931"/>
  </w:style>
  <w:style w:type="character" w:styleId="955">
    <w:name w:val="WW8Num15z0"/>
    <w:next w:val="955"/>
    <w:link w:val="931"/>
    <w:rPr>
      <w:rFonts w:ascii="Symbol" w:hAnsi="Symbol" w:cs="Symbol"/>
      <w:sz w:val="20"/>
    </w:rPr>
  </w:style>
  <w:style w:type="character" w:styleId="956">
    <w:name w:val="WW8Num15z1"/>
    <w:next w:val="956"/>
    <w:link w:val="931"/>
    <w:rPr>
      <w:rFonts w:ascii="Courier New" w:hAnsi="Courier New" w:cs="Courier New"/>
      <w:sz w:val="20"/>
    </w:rPr>
  </w:style>
  <w:style w:type="character" w:styleId="957">
    <w:name w:val="WW8Num15z2"/>
    <w:next w:val="957"/>
    <w:link w:val="931"/>
    <w:rPr>
      <w:rFonts w:ascii="Wingdings" w:hAnsi="Wingdings" w:cs="Wingdings"/>
      <w:sz w:val="20"/>
    </w:rPr>
  </w:style>
  <w:style w:type="character" w:styleId="958">
    <w:name w:val="WW8Num16z0"/>
    <w:next w:val="958"/>
    <w:link w:val="931"/>
  </w:style>
  <w:style w:type="character" w:styleId="959">
    <w:name w:val="WW8Num17z0"/>
    <w:next w:val="959"/>
    <w:link w:val="931"/>
  </w:style>
  <w:style w:type="character" w:styleId="960">
    <w:name w:val="WW8Num18z0"/>
    <w:next w:val="960"/>
    <w:link w:val="931"/>
  </w:style>
  <w:style w:type="character" w:styleId="961">
    <w:name w:val="WW8Num19z0"/>
    <w:next w:val="961"/>
    <w:link w:val="931"/>
    <w:rPr>
      <w:rFonts w:ascii="Symbol" w:hAnsi="Symbol" w:cs="Symbol"/>
    </w:rPr>
  </w:style>
  <w:style w:type="character" w:styleId="962">
    <w:name w:val="WW8Num19z1"/>
    <w:next w:val="962"/>
    <w:link w:val="931"/>
    <w:rPr>
      <w:rFonts w:ascii="Courier New" w:hAnsi="Courier New" w:cs="Courier New"/>
    </w:rPr>
  </w:style>
  <w:style w:type="character" w:styleId="963">
    <w:name w:val="WW8Num19z2"/>
    <w:next w:val="963"/>
    <w:link w:val="931"/>
    <w:rPr>
      <w:rFonts w:ascii="Wingdings" w:hAnsi="Wingdings" w:cs="Wingdings"/>
    </w:rPr>
  </w:style>
  <w:style w:type="character" w:styleId="964">
    <w:name w:val="WW8Num20z0"/>
    <w:next w:val="964"/>
    <w:link w:val="931"/>
  </w:style>
  <w:style w:type="character" w:styleId="965">
    <w:name w:val="WW8Num21z0"/>
    <w:next w:val="965"/>
    <w:link w:val="931"/>
  </w:style>
  <w:style w:type="character" w:styleId="966">
    <w:name w:val="WW8Num21z2"/>
    <w:next w:val="966"/>
    <w:link w:val="931"/>
    <w:rPr>
      <w:i w:val="0"/>
    </w:rPr>
  </w:style>
  <w:style w:type="character" w:styleId="967">
    <w:name w:val="WW8Num22z0"/>
    <w:next w:val="967"/>
    <w:link w:val="931"/>
  </w:style>
  <w:style w:type="character" w:styleId="968">
    <w:name w:val="WW8Num23z0"/>
    <w:next w:val="968"/>
    <w:link w:val="931"/>
  </w:style>
  <w:style w:type="character" w:styleId="969">
    <w:name w:val="WW8Num24z0"/>
    <w:next w:val="969"/>
    <w:link w:val="931"/>
    <w:rPr>
      <w:i w:val="0"/>
    </w:rPr>
  </w:style>
  <w:style w:type="character" w:styleId="970">
    <w:name w:val="WW8Num25z0"/>
    <w:next w:val="970"/>
    <w:link w:val="931"/>
    <w:rPr>
      <w:rFonts w:ascii="Calibri" w:hAnsi="Calibri" w:cs="Calibri"/>
      <w:sz w:val="22"/>
    </w:rPr>
  </w:style>
  <w:style w:type="character" w:styleId="971">
    <w:name w:val="WW8Num26z0"/>
    <w:next w:val="971"/>
    <w:link w:val="931"/>
  </w:style>
  <w:style w:type="character" w:styleId="972">
    <w:name w:val="WW8Num27z0"/>
    <w:next w:val="972"/>
    <w:link w:val="931"/>
  </w:style>
  <w:style w:type="character" w:styleId="973">
    <w:name w:val="WW8Num28z0"/>
    <w:next w:val="973"/>
    <w:link w:val="931"/>
    <w:rPr>
      <w:rFonts w:ascii="Symbol" w:hAnsi="Symbol" w:cs="Symbol"/>
      <w:sz w:val="24"/>
      <w:szCs w:val="24"/>
    </w:rPr>
  </w:style>
  <w:style w:type="character" w:styleId="974">
    <w:name w:val="WW8Num28z1"/>
    <w:next w:val="974"/>
    <w:link w:val="931"/>
    <w:rPr>
      <w:rFonts w:ascii="Symbol" w:hAnsi="Symbol" w:cs="Symbol"/>
    </w:rPr>
  </w:style>
  <w:style w:type="character" w:styleId="975">
    <w:name w:val="WW8Num29z0"/>
    <w:next w:val="975"/>
    <w:link w:val="931"/>
  </w:style>
  <w:style w:type="character" w:styleId="976">
    <w:name w:val="WW8Num30z0"/>
    <w:next w:val="976"/>
    <w:link w:val="931"/>
  </w:style>
  <w:style w:type="character" w:styleId="977">
    <w:name w:val="WW8Num31z0"/>
    <w:next w:val="977"/>
    <w:link w:val="931"/>
  </w:style>
  <w:style w:type="character" w:styleId="978">
    <w:name w:val="WW8Num32z0"/>
    <w:next w:val="978"/>
    <w:link w:val="931"/>
  </w:style>
  <w:style w:type="character" w:styleId="979">
    <w:name w:val="WW8Num33z0"/>
    <w:next w:val="979"/>
    <w:link w:val="931"/>
    <w:rPr>
      <w:rFonts w:ascii="Calibri" w:hAnsi="Calibri" w:cs="Calibri"/>
      <w:sz w:val="22"/>
    </w:rPr>
  </w:style>
  <w:style w:type="character" w:styleId="980">
    <w:name w:val="WW8Num34z0"/>
    <w:next w:val="980"/>
    <w:link w:val="931"/>
  </w:style>
  <w:style w:type="character" w:styleId="981">
    <w:name w:val="WW8Num35z0"/>
    <w:next w:val="981"/>
    <w:link w:val="931"/>
  </w:style>
  <w:style w:type="character" w:styleId="982">
    <w:name w:val="WW8Num35z2"/>
    <w:next w:val="982"/>
    <w:link w:val="931"/>
    <w:rPr>
      <w:i w:val="0"/>
    </w:rPr>
  </w:style>
  <w:style w:type="character" w:styleId="983">
    <w:name w:val="WW8Num36z0"/>
    <w:next w:val="983"/>
    <w:link w:val="931"/>
  </w:style>
  <w:style w:type="character" w:styleId="984">
    <w:name w:val="WW8Num37z0"/>
    <w:next w:val="984"/>
    <w:link w:val="931"/>
  </w:style>
  <w:style w:type="character" w:styleId="985">
    <w:name w:val="WW8Num38z0"/>
    <w:next w:val="985"/>
    <w:link w:val="931"/>
  </w:style>
  <w:style w:type="character" w:styleId="986">
    <w:name w:val="WW8Num39z0"/>
    <w:next w:val="986"/>
    <w:link w:val="931"/>
    <w:rPr>
      <w:i w:val="0"/>
    </w:rPr>
  </w:style>
  <w:style w:type="character" w:styleId="987">
    <w:name w:val="WW8Num40z0"/>
    <w:next w:val="987"/>
    <w:link w:val="931"/>
  </w:style>
  <w:style w:type="character" w:styleId="988">
    <w:name w:val="WW8Num41z0"/>
    <w:next w:val="988"/>
    <w:link w:val="931"/>
  </w:style>
  <w:style w:type="character" w:styleId="989">
    <w:name w:val="WW8Num42z0"/>
    <w:next w:val="989"/>
    <w:link w:val="931"/>
  </w:style>
  <w:style w:type="character" w:styleId="990">
    <w:name w:val="WW8Num43z0"/>
    <w:next w:val="990"/>
    <w:link w:val="931"/>
  </w:style>
  <w:style w:type="character" w:styleId="991">
    <w:name w:val="WW8Num44z0"/>
    <w:next w:val="991"/>
    <w:link w:val="931"/>
    <w:rPr>
      <w:i w:val="0"/>
    </w:rPr>
  </w:style>
  <w:style w:type="character" w:styleId="992">
    <w:name w:val="WW8Num44z1"/>
    <w:next w:val="992"/>
    <w:link w:val="931"/>
  </w:style>
  <w:style w:type="character" w:styleId="993">
    <w:name w:val="WW8Num44z2"/>
    <w:next w:val="993"/>
    <w:link w:val="931"/>
    <w:rPr>
      <w:b w:val="0"/>
      <w:i w:val="0"/>
      <w:color w:val="000000"/>
      <w:sz w:val="20"/>
      <w:szCs w:val="20"/>
    </w:rPr>
  </w:style>
  <w:style w:type="character" w:styleId="994">
    <w:name w:val="WW8Num45z0"/>
    <w:next w:val="994"/>
    <w:link w:val="931"/>
  </w:style>
  <w:style w:type="character" w:styleId="995">
    <w:name w:val="WW8Num45z2"/>
    <w:next w:val="995"/>
    <w:link w:val="931"/>
    <w:rPr>
      <w:b w:val="0"/>
      <w:i w:val="0"/>
      <w:color w:val="000000"/>
      <w:sz w:val="20"/>
      <w:szCs w:val="20"/>
    </w:rPr>
  </w:style>
  <w:style w:type="character" w:styleId="996">
    <w:name w:val="WW8Num46z0"/>
    <w:next w:val="996"/>
    <w:link w:val="931"/>
  </w:style>
  <w:style w:type="character" w:styleId="997">
    <w:name w:val="WW8Num46z2"/>
    <w:next w:val="997"/>
    <w:link w:val="931"/>
    <w:rPr>
      <w:b w:val="0"/>
      <w:i w:val="0"/>
      <w:color w:val="000000"/>
      <w:sz w:val="20"/>
      <w:szCs w:val="20"/>
    </w:rPr>
  </w:style>
  <w:style w:type="character" w:styleId="998">
    <w:name w:val="WW8Num47z0"/>
    <w:next w:val="998"/>
    <w:link w:val="931"/>
  </w:style>
  <w:style w:type="character" w:styleId="999">
    <w:name w:val="WW8Num48z0"/>
    <w:next w:val="999"/>
    <w:link w:val="931"/>
  </w:style>
  <w:style w:type="character" w:styleId="1000">
    <w:name w:val="WW8Num48z2"/>
    <w:next w:val="1000"/>
    <w:link w:val="931"/>
    <w:rPr>
      <w:b w:val="0"/>
      <w:i w:val="0"/>
      <w:sz w:val="20"/>
      <w:szCs w:val="20"/>
    </w:rPr>
  </w:style>
  <w:style w:type="character" w:styleId="1001">
    <w:name w:val="WW8Num49z0"/>
    <w:next w:val="1001"/>
    <w:link w:val="931"/>
  </w:style>
  <w:style w:type="character" w:styleId="1002">
    <w:name w:val="WW8Num50z0"/>
    <w:next w:val="1002"/>
    <w:link w:val="931"/>
  </w:style>
  <w:style w:type="character" w:styleId="1003">
    <w:name w:val="Основной шрифт абзаца1"/>
    <w:next w:val="1003"/>
    <w:link w:val="931"/>
  </w:style>
  <w:style w:type="character" w:styleId="1004">
    <w:name w:val="Номер страницы"/>
    <w:basedOn w:val="1003"/>
    <w:next w:val="1004"/>
    <w:link w:val="931"/>
  </w:style>
  <w:style w:type="character" w:styleId="1005">
    <w:name w:val="Гиперссылка"/>
    <w:next w:val="1005"/>
    <w:link w:val="931"/>
    <w:rPr>
      <w:color w:val="0000ff"/>
      <w:u w:val="single"/>
    </w:rPr>
  </w:style>
  <w:style w:type="character" w:styleId="1006">
    <w:name w:val="Знак примечания1"/>
    <w:next w:val="1006"/>
    <w:link w:val="931"/>
    <w:rPr>
      <w:sz w:val="16"/>
      <w:szCs w:val="16"/>
    </w:rPr>
  </w:style>
  <w:style w:type="character" w:styleId="1007">
    <w:name w:val="highlight highlight_active"/>
    <w:basedOn w:val="1003"/>
    <w:next w:val="1007"/>
    <w:link w:val="931"/>
  </w:style>
  <w:style w:type="character" w:styleId="1008">
    <w:name w:val="Текст примечания Знак"/>
    <w:next w:val="1008"/>
    <w:link w:val="931"/>
  </w:style>
  <w:style w:type="character" w:styleId="1009">
    <w:name w:val="Основной текст с отступом Знак"/>
    <w:next w:val="1009"/>
    <w:link w:val="931"/>
  </w:style>
  <w:style w:type="character" w:styleId="1010">
    <w:name w:val="Номер строки"/>
    <w:next w:val="1010"/>
    <w:link w:val="931"/>
  </w:style>
  <w:style w:type="paragraph" w:styleId="1011">
    <w:name w:val="Заголовок"/>
    <w:basedOn w:val="931"/>
    <w:next w:val="1012"/>
    <w:link w:val="931"/>
    <w:pPr>
      <w:ind w:left="0" w:right="-335" w:firstLine="0"/>
      <w:jc w:val="center"/>
    </w:pPr>
    <w:rPr>
      <w:b/>
    </w:rPr>
  </w:style>
  <w:style w:type="paragraph" w:styleId="1012">
    <w:name w:val="Основной текст"/>
    <w:basedOn w:val="931"/>
    <w:next w:val="1012"/>
    <w:link w:val="931"/>
    <w:pPr>
      <w:spacing w:before="0" w:after="120"/>
    </w:pPr>
  </w:style>
  <w:style w:type="paragraph" w:styleId="1013">
    <w:name w:val="Список"/>
    <w:basedOn w:val="1012"/>
    <w:next w:val="1013"/>
    <w:link w:val="931"/>
    <w:rPr>
      <w:rFonts w:ascii="PT Astra Serif" w:hAnsi="PT Astra Serif" w:cs="Noto Sans Devanagari"/>
    </w:rPr>
  </w:style>
  <w:style w:type="paragraph" w:styleId="1014">
    <w:name w:val="Название объекта"/>
    <w:basedOn w:val="931"/>
    <w:next w:val="1014"/>
    <w:link w:val="931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1015">
    <w:name w:val="Указатель1"/>
    <w:basedOn w:val="931"/>
    <w:next w:val="1015"/>
    <w:link w:val="931"/>
    <w:pPr>
      <w:suppressLineNumbers/>
    </w:pPr>
    <w:rPr>
      <w:rFonts w:ascii="PT Astra Serif" w:hAnsi="PT Astra Serif" w:cs="Noto Sans Devanagari"/>
    </w:rPr>
  </w:style>
  <w:style w:type="paragraph" w:styleId="1016">
    <w:name w:val="Колонтитул"/>
    <w:basedOn w:val="931"/>
    <w:next w:val="1016"/>
    <w:link w:val="931"/>
    <w:pPr>
      <w:tabs>
        <w:tab w:val="center" w:pos="4819" w:leader="none"/>
        <w:tab w:val="right" w:pos="9638" w:leader="none"/>
      </w:tabs>
      <w:suppressLineNumbers/>
    </w:pPr>
  </w:style>
  <w:style w:type="paragraph" w:styleId="1017">
    <w:name w:val="Верхний колонтитул"/>
    <w:basedOn w:val="931"/>
    <w:next w:val="1017"/>
    <w:link w:val="931"/>
    <w:pPr>
      <w:tabs>
        <w:tab w:val="center" w:pos="4153" w:leader="none"/>
        <w:tab w:val="right" w:pos="8306" w:leader="none"/>
      </w:tabs>
    </w:pPr>
  </w:style>
  <w:style w:type="paragraph" w:styleId="1018">
    <w:name w:val="Нижний колонтитул"/>
    <w:basedOn w:val="931"/>
    <w:next w:val="1018"/>
    <w:link w:val="931"/>
    <w:pPr>
      <w:tabs>
        <w:tab w:val="center" w:pos="4153" w:leader="none"/>
        <w:tab w:val="right" w:pos="8306" w:leader="none"/>
      </w:tabs>
    </w:pPr>
  </w:style>
  <w:style w:type="paragraph" w:styleId="1019">
    <w:name w:val="Основной текст с отступом"/>
    <w:basedOn w:val="931"/>
    <w:next w:val="1019"/>
    <w:link w:val="931"/>
    <w:pPr>
      <w:ind w:left="0" w:right="-1" w:firstLine="567"/>
      <w:jc w:val="both"/>
    </w:pPr>
  </w:style>
  <w:style w:type="paragraph" w:styleId="1020">
    <w:name w:val="Основной текст с отступом 21"/>
    <w:basedOn w:val="931"/>
    <w:next w:val="1020"/>
    <w:link w:val="931"/>
    <w:pPr>
      <w:ind w:left="0" w:right="-1" w:firstLine="567"/>
      <w:jc w:val="both"/>
    </w:pPr>
    <w:rPr>
      <w:color w:val="0000ff"/>
    </w:rPr>
  </w:style>
  <w:style w:type="paragraph" w:styleId="1021">
    <w:name w:val="Основной текст с отступом 31"/>
    <w:basedOn w:val="931"/>
    <w:next w:val="1021"/>
    <w:link w:val="931"/>
    <w:pPr>
      <w:ind w:left="567" w:right="0" w:firstLine="426"/>
      <w:jc w:val="both"/>
      <w:spacing w:line="220" w:lineRule="exact"/>
    </w:pPr>
  </w:style>
  <w:style w:type="paragraph" w:styleId="1022">
    <w:name w:val="Текст выноски"/>
    <w:basedOn w:val="931"/>
    <w:next w:val="1022"/>
    <w:link w:val="931"/>
    <w:rPr>
      <w:rFonts w:ascii="Tahoma" w:hAnsi="Tahoma" w:cs="Tahoma"/>
      <w:sz w:val="16"/>
      <w:szCs w:val="16"/>
    </w:rPr>
  </w:style>
  <w:style w:type="paragraph" w:styleId="1023">
    <w:name w:val="LO-Normal"/>
    <w:next w:val="1023"/>
    <w:link w:val="931"/>
    <w:pPr>
      <w:widowControl w:val="off"/>
      <w:suppressLineNumbers/>
    </w:pPr>
    <w:rPr>
      <w:lang w:val="ru-RU" w:eastAsia="zh-CN" w:bidi="ar-SA"/>
    </w:rPr>
  </w:style>
  <w:style w:type="paragraph" w:styleId="1024">
    <w:name w:val="Iniiaiie oaeno io?aoa"/>
    <w:next w:val="1024"/>
    <w:link w:val="931"/>
    <w:pPr>
      <w:ind w:firstLine="720"/>
      <w:jc w:val="both"/>
      <w:spacing w:line="240" w:lineRule="atLeast"/>
      <w:widowControl w:val="off"/>
    </w:pPr>
    <w:rPr>
      <w:sz w:val="24"/>
      <w:szCs w:val="24"/>
      <w:lang w:val="en-US" w:eastAsia="zh-CN" w:bidi="ar-SA"/>
    </w:rPr>
  </w:style>
  <w:style w:type="paragraph" w:styleId="1025">
    <w:name w:val="Стандартный HTML"/>
    <w:basedOn w:val="931"/>
    <w:next w:val="1025"/>
    <w:link w:val="93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</w:rPr>
  </w:style>
  <w:style w:type="paragraph" w:styleId="1026">
    <w:name w:val="Оглавление 1"/>
    <w:basedOn w:val="931"/>
    <w:next w:val="931"/>
    <w:link w:val="931"/>
  </w:style>
  <w:style w:type="paragraph" w:styleId="1027">
    <w:name w:val=" Знак"/>
    <w:basedOn w:val="931"/>
    <w:next w:val="1027"/>
    <w:link w:val="931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8">
    <w:name w:val=" Знак1"/>
    <w:basedOn w:val="931"/>
    <w:next w:val="1028"/>
    <w:link w:val="931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9">
    <w:name w:val="Текст примечания1"/>
    <w:basedOn w:val="931"/>
    <w:next w:val="1029"/>
    <w:link w:val="931"/>
  </w:style>
  <w:style w:type="paragraph" w:styleId="1030">
    <w:name w:val="Тема примечания"/>
    <w:basedOn w:val="1029"/>
    <w:next w:val="1029"/>
    <w:link w:val="931"/>
    <w:rPr>
      <w:b/>
      <w:bCs/>
    </w:rPr>
  </w:style>
  <w:style w:type="paragraph" w:styleId="1031">
    <w:name w:val="List Paragraph"/>
    <w:basedOn w:val="931"/>
    <w:next w:val="1031"/>
    <w:link w:val="931"/>
    <w:pPr>
      <w:contextualSpacing/>
      <w:ind w:left="720" w:right="0" w:firstLine="0"/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032">
    <w:name w:val="Обычный (веб)"/>
    <w:basedOn w:val="931"/>
    <w:next w:val="1032"/>
    <w:link w:val="931"/>
    <w:pPr>
      <w:spacing w:before="100" w:after="100"/>
    </w:pPr>
    <w:rPr>
      <w:sz w:val="24"/>
      <w:szCs w:val="24"/>
    </w:rPr>
  </w:style>
  <w:style w:type="paragraph" w:styleId="1033">
    <w:name w:val="ConsPlusNormal"/>
    <w:next w:val="1033"/>
    <w:link w:val="931"/>
    <w:rPr>
      <w:rFonts w:ascii="Arial" w:hAnsi="Arial" w:cs="Arial"/>
      <w:lang w:val="ru-RU" w:eastAsia="zh-CN" w:bidi="ar-SA"/>
    </w:rPr>
  </w:style>
  <w:style w:type="paragraph" w:styleId="1034">
    <w:name w:val="Содержимое таблицы"/>
    <w:basedOn w:val="931"/>
    <w:next w:val="1034"/>
    <w:link w:val="931"/>
    <w:pPr>
      <w:widowControl w:val="off"/>
      <w:suppressLineNumbers/>
    </w:pPr>
  </w:style>
  <w:style w:type="paragraph" w:styleId="1035">
    <w:name w:val="Заголовок таблицы"/>
    <w:basedOn w:val="1034"/>
    <w:next w:val="1035"/>
    <w:link w:val="931"/>
    <w:pPr>
      <w:jc w:val="center"/>
      <w:suppressLineNumbers/>
    </w:pPr>
    <w:rPr>
      <w:b/>
      <w:bCs/>
    </w:rPr>
  </w:style>
  <w:style w:type="character" w:styleId="1036" w:default="1">
    <w:name w:val="Default Paragraph Font"/>
    <w:uiPriority w:val="1"/>
    <w:semiHidden/>
    <w:unhideWhenUsed/>
  </w:style>
  <w:style w:type="numbering" w:styleId="1037" w:default="1">
    <w:name w:val="No List"/>
    <w:uiPriority w:val="99"/>
    <w:semiHidden/>
    <w:unhideWhenUsed/>
  </w:style>
  <w:style w:type="table" w:styleId="1038" w:default="1">
    <w:name w:val="Normal Table"/>
    <w:uiPriority w:val="99"/>
    <w:semiHidden/>
    <w:unhideWhenUsed/>
    <w:tblPr/>
  </w:style>
  <w:style w:type="paragraph" w:styleId="1039" w:customStyle="1">
    <w:name w:val="Название"/>
    <w:basedOn w:val="971"/>
    <w:qFormat/>
    <w:pPr>
      <w:contextualSpacing w:val="0"/>
      <w:ind w:left="0" w:right="-335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ЭЛЕКТРОСНАБЖЕНИЯ</dc:title>
  <dc:creator>user</dc:creator>
  <cp:revision>10</cp:revision>
  <dcterms:created xsi:type="dcterms:W3CDTF">2024-11-14T09:43:00Z</dcterms:created>
  <dcterms:modified xsi:type="dcterms:W3CDTF">2024-11-19T10:30:44Z</dcterms:modified>
  <cp:version>1048576</cp:version>
</cp:coreProperties>
</file>